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F" w:rsidRPr="001752C8" w:rsidRDefault="00105D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A86E8"/>
          <w:sz w:val="28"/>
          <w:szCs w:val="28"/>
        </w:rPr>
      </w:pPr>
      <w:r w:rsidRPr="001752C8">
        <w:rPr>
          <w:rFonts w:ascii="Times New Roman" w:eastAsia="Times New Roman" w:hAnsi="Times New Roman" w:cs="Times New Roman"/>
          <w:i/>
          <w:color w:val="4A86E8"/>
          <w:sz w:val="28"/>
          <w:szCs w:val="28"/>
        </w:rPr>
        <w:t xml:space="preserve">Управління соціального захисту населення </w:t>
      </w:r>
      <w:proofErr w:type="spellStart"/>
      <w:r w:rsidRPr="001752C8">
        <w:rPr>
          <w:rFonts w:ascii="Times New Roman" w:eastAsia="Times New Roman" w:hAnsi="Times New Roman" w:cs="Times New Roman"/>
          <w:i/>
          <w:color w:val="4A86E8"/>
          <w:sz w:val="28"/>
          <w:szCs w:val="28"/>
        </w:rPr>
        <w:t>Горішньоплавнівської</w:t>
      </w:r>
      <w:proofErr w:type="spellEnd"/>
      <w:r w:rsidRPr="001752C8">
        <w:rPr>
          <w:rFonts w:ascii="Times New Roman" w:eastAsia="Times New Roman" w:hAnsi="Times New Roman" w:cs="Times New Roman"/>
          <w:i/>
          <w:color w:val="4A86E8"/>
          <w:sz w:val="28"/>
          <w:szCs w:val="28"/>
        </w:rPr>
        <w:t xml:space="preserve"> міської ради Кременчуцького району Полтавської області </w:t>
      </w:r>
    </w:p>
    <w:p w:rsidR="008538DF" w:rsidRDefault="00853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8DF" w:rsidRDefault="00D30C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538DF" w:rsidRDefault="00D30CE7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паперу,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8538DF" w:rsidRDefault="00D30CE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538DF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1752C8">
        <w:rPr>
          <w:rFonts w:ascii="Times New Roman" w:hAnsi="Times New Roman" w:cs="Times New Roman"/>
          <w:sz w:val="20"/>
          <w:szCs w:val="20"/>
        </w:rPr>
        <w:t xml:space="preserve">: </w:t>
      </w:r>
      <w:r w:rsidR="00BE45F1" w:rsidRPr="001752C8">
        <w:rPr>
          <w:rFonts w:ascii="Times New Roman" w:hAnsi="Times New Roman" w:cs="Times New Roman"/>
          <w:sz w:val="20"/>
          <w:szCs w:val="20"/>
          <w:u w:val="single"/>
        </w:rPr>
        <w:t xml:space="preserve">Управління соціального захисту населення </w:t>
      </w:r>
      <w:proofErr w:type="spellStart"/>
      <w:r w:rsidR="00BE45F1" w:rsidRPr="001752C8">
        <w:rPr>
          <w:rFonts w:ascii="Times New Roman" w:hAnsi="Times New Roman" w:cs="Times New Roman"/>
          <w:sz w:val="20"/>
          <w:szCs w:val="20"/>
          <w:u w:val="single"/>
        </w:rPr>
        <w:t>Горішньоплавнівської</w:t>
      </w:r>
      <w:proofErr w:type="spellEnd"/>
      <w:r w:rsidR="00BE45F1" w:rsidRPr="001752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BE45F1" w:rsidRPr="001752C8">
        <w:rPr>
          <w:rFonts w:ascii="Times New Roman" w:hAnsi="Times New Roman" w:cs="Times New Roman"/>
          <w:sz w:val="20"/>
          <w:szCs w:val="20"/>
          <w:u w:val="single"/>
        </w:rPr>
        <w:t>міької</w:t>
      </w:r>
      <w:proofErr w:type="spellEnd"/>
      <w:r w:rsidR="00BE45F1" w:rsidRPr="001752C8">
        <w:rPr>
          <w:rFonts w:ascii="Times New Roman" w:hAnsi="Times New Roman" w:cs="Times New Roman"/>
          <w:sz w:val="20"/>
          <w:szCs w:val="20"/>
          <w:u w:val="single"/>
        </w:rPr>
        <w:t xml:space="preserve"> ради Кременчуцького району Полтавської області 39800, Україна, Полтавська область, Кременчуцький район, м. Горішні Плавні, вул. Миру, буд.29. ЕДРПОУ 05425371 </w:t>
      </w:r>
      <w:r w:rsidR="00BE45F1" w:rsidRPr="001752C8">
        <w:rPr>
          <w:rFonts w:ascii="Times New Roman" w:hAnsi="Times New Roman" w:cs="Times New Roman"/>
          <w:color w:val="333333"/>
          <w:sz w:val="20"/>
          <w:szCs w:val="20"/>
          <w:u w:val="single"/>
          <w:bdr w:val="none" w:sz="0" w:space="0" w:color="auto" w:frame="1"/>
        </w:rPr>
        <w:t>категорія замовника – орган місцевого самоврядування</w:t>
      </w:r>
      <w:r w:rsidRPr="001752C8">
        <w:rPr>
          <w:rFonts w:ascii="Times New Roman" w:hAnsi="Times New Roman" w:cs="Times New Roman"/>
          <w:sz w:val="20"/>
          <w:szCs w:val="20"/>
        </w:rPr>
        <w:t>.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</w:p>
    <w:p w:rsidR="001752C8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1752C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1752C8">
        <w:rPr>
          <w:rFonts w:ascii="Times New Roman" w:hAnsi="Times New Roman" w:cs="Times New Roman"/>
          <w:sz w:val="20"/>
          <w:szCs w:val="20"/>
        </w:rPr>
        <w:t xml:space="preserve"> Код ДК 021:2015 — 30190000-7, Офісне устаткування та приладдя різне (папір </w:t>
      </w:r>
      <w:r w:rsidR="002C31D6">
        <w:rPr>
          <w:rFonts w:ascii="Times New Roman" w:hAnsi="Times New Roman" w:cs="Times New Roman"/>
          <w:sz w:val="20"/>
          <w:szCs w:val="20"/>
        </w:rPr>
        <w:t>офісний, форматний</w:t>
      </w:r>
      <w:r w:rsidRPr="001752C8">
        <w:rPr>
          <w:rFonts w:ascii="Times New Roman" w:hAnsi="Times New Roman" w:cs="Times New Roman"/>
          <w:sz w:val="20"/>
          <w:szCs w:val="20"/>
        </w:rPr>
        <w:t>).</w:t>
      </w:r>
      <w:r w:rsidR="001752C8" w:rsidRPr="001752C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8538DF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sz w:val="20"/>
          <w:szCs w:val="20"/>
        </w:rPr>
        <w:t>Вид та ідентифікатор процедури закупівлі</w:t>
      </w:r>
      <w:r w:rsidRPr="001752C8">
        <w:rPr>
          <w:rFonts w:ascii="Times New Roman" w:hAnsi="Times New Roman" w:cs="Times New Roman"/>
          <w:sz w:val="20"/>
          <w:szCs w:val="20"/>
        </w:rPr>
        <w:t xml:space="preserve">: </w:t>
      </w:r>
      <w:r w:rsidR="001752C8" w:rsidRPr="001752C8">
        <w:rPr>
          <w:rFonts w:ascii="Times New Roman" w:hAnsi="Times New Roman" w:cs="Times New Roman"/>
          <w:sz w:val="20"/>
          <w:szCs w:val="20"/>
          <w:lang w:eastAsia="uk-UA"/>
        </w:rPr>
        <w:t xml:space="preserve">закупівля з використанням електронного каталогу відповідно до Порядку формування та використання електронного каталогу, затвердженого постановою Кабінету Міністрів України від 14.09.2020 № 822 шляхом </w:t>
      </w:r>
      <w:r w:rsidR="001752C8" w:rsidRPr="001752C8">
        <w:rPr>
          <w:rFonts w:ascii="Times New Roman" w:hAnsi="Times New Roman" w:cs="Times New Roman"/>
          <w:color w:val="000000" w:themeColor="text1"/>
          <w:sz w:val="20"/>
          <w:szCs w:val="20"/>
          <w:lang w:eastAsia="uk-UA"/>
        </w:rPr>
        <w:t xml:space="preserve">запиту пропозицій постачальників </w:t>
      </w:r>
      <w:r w:rsidR="001752C8" w:rsidRPr="001752C8">
        <w:rPr>
          <w:rFonts w:ascii="Times New Roman" w:hAnsi="Times New Roman" w:cs="Times New Roman"/>
          <w:color w:val="333333"/>
          <w:sz w:val="20"/>
          <w:szCs w:val="20"/>
          <w:u w:val="single"/>
          <w:shd w:val="clear" w:color="auto" w:fill="FFFFFF"/>
        </w:rPr>
        <w:t>UA-2025-03-18-005994-a</w:t>
      </w:r>
      <w:r w:rsidRPr="001752C8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8538DF" w:rsidRPr="001752C8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sz w:val="20"/>
          <w:szCs w:val="20"/>
        </w:rPr>
        <w:t>Очікувана вартість та обґрунтування очікуваної вартості предмета закупівлі</w:t>
      </w:r>
      <w:r w:rsidRPr="001752C8">
        <w:rPr>
          <w:rFonts w:ascii="Times New Roman" w:hAnsi="Times New Roman" w:cs="Times New Roman"/>
          <w:sz w:val="20"/>
          <w:szCs w:val="20"/>
        </w:rPr>
        <w:t xml:space="preserve">: </w:t>
      </w:r>
      <w:r w:rsidR="00105DA3" w:rsidRPr="002C31D6">
        <w:rPr>
          <w:rFonts w:ascii="Times New Roman" w:hAnsi="Times New Roman" w:cs="Times New Roman"/>
          <w:sz w:val="20"/>
          <w:szCs w:val="20"/>
          <w:u w:val="single"/>
        </w:rPr>
        <w:t>2050</w:t>
      </w:r>
      <w:r w:rsidR="009F1714" w:rsidRPr="002C31D6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105DA3" w:rsidRPr="002C31D6">
        <w:rPr>
          <w:rFonts w:ascii="Times New Roman" w:hAnsi="Times New Roman" w:cs="Times New Roman"/>
          <w:sz w:val="20"/>
          <w:szCs w:val="20"/>
          <w:u w:val="single"/>
        </w:rPr>
        <w:t>0,00</w:t>
      </w:r>
      <w:r w:rsidRPr="002C31D6">
        <w:rPr>
          <w:rFonts w:ascii="Times New Roman" w:hAnsi="Times New Roman" w:cs="Times New Roman"/>
          <w:sz w:val="20"/>
          <w:szCs w:val="20"/>
        </w:rPr>
        <w:t xml:space="preserve"> грн</w:t>
      </w:r>
      <w:r w:rsidRPr="001752C8">
        <w:rPr>
          <w:rFonts w:ascii="Times New Roman" w:hAnsi="Times New Roman" w:cs="Times New Roman"/>
          <w:sz w:val="20"/>
          <w:szCs w:val="20"/>
        </w:rPr>
        <w:t xml:space="preserve">. </w:t>
      </w:r>
      <w:r w:rsidR="005957CA">
        <w:rPr>
          <w:rFonts w:ascii="Times New Roman" w:hAnsi="Times New Roman" w:cs="Times New Roman"/>
          <w:sz w:val="20"/>
          <w:szCs w:val="20"/>
        </w:rPr>
        <w:t>(</w:t>
      </w:r>
      <w:r w:rsidR="0082052E" w:rsidRPr="001752C8">
        <w:rPr>
          <w:rFonts w:ascii="Times New Roman" w:hAnsi="Times New Roman" w:cs="Times New Roman"/>
          <w:sz w:val="20"/>
          <w:szCs w:val="20"/>
        </w:rPr>
        <w:t>за рахунок коштів місцевого бюджету</w:t>
      </w:r>
      <w:r w:rsidR="005957CA">
        <w:rPr>
          <w:rFonts w:ascii="Times New Roman" w:hAnsi="Times New Roman" w:cs="Times New Roman"/>
          <w:sz w:val="20"/>
          <w:szCs w:val="20"/>
        </w:rPr>
        <w:t>)</w:t>
      </w:r>
      <w:r w:rsidR="0082052E" w:rsidRPr="001752C8">
        <w:rPr>
          <w:rFonts w:ascii="Times New Roman" w:hAnsi="Times New Roman" w:cs="Times New Roman"/>
          <w:sz w:val="20"/>
          <w:szCs w:val="20"/>
        </w:rPr>
        <w:t xml:space="preserve">. </w:t>
      </w:r>
      <w:r w:rsidRPr="001752C8">
        <w:rPr>
          <w:rFonts w:ascii="Times New Roman" w:hAnsi="Times New Roman" w:cs="Times New Roman"/>
          <w:sz w:val="20"/>
          <w:szCs w:val="20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752C8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1752C8">
        <w:rPr>
          <w:rFonts w:ascii="Times New Roman" w:hAnsi="Times New Roman" w:cs="Times New Roman"/>
          <w:sz w:val="20"/>
          <w:szCs w:val="20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8C5BAD" w:rsidRDefault="008C5BAD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sz w:val="20"/>
          <w:szCs w:val="20"/>
        </w:rPr>
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752C8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1752C8">
        <w:rPr>
          <w:rFonts w:ascii="Times New Roman" w:hAnsi="Times New Roman" w:cs="Times New Roman"/>
          <w:sz w:val="20"/>
          <w:szCs w:val="20"/>
        </w:rPr>
        <w:t xml:space="preserve"> «Прозоро» з урахуванням фактичних обсягів використання  паперу замовником  у попередніх періодах та в межах наявних кошторисних призначень.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82052E" w:rsidRDefault="0082052E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sz w:val="20"/>
          <w:szCs w:val="20"/>
        </w:rPr>
        <w:t xml:space="preserve">Розмір бюджетного призначення </w:t>
      </w:r>
      <w:r w:rsidRPr="001752C8">
        <w:rPr>
          <w:rFonts w:ascii="Times New Roman" w:hAnsi="Times New Roman" w:cs="Times New Roman"/>
          <w:sz w:val="20"/>
          <w:szCs w:val="20"/>
        </w:rPr>
        <w:t>визначений відповідно до  річної потреби  кошторисних призначень  на 2025 рік.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8538DF" w:rsidRPr="001752C8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</w:t>
      </w:r>
      <w:r w:rsidRPr="001752C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2052E" w:rsidRPr="001752C8" w:rsidRDefault="0082052E" w:rsidP="001752C8">
      <w:pPr>
        <w:pStyle w:val="a8"/>
        <w:rPr>
          <w:rFonts w:ascii="Times New Roman" w:hAnsi="Times New Roman" w:cs="Times New Roman"/>
          <w:sz w:val="20"/>
          <w:szCs w:val="20"/>
          <w:lang w:eastAsia="uk-UA"/>
        </w:rPr>
      </w:pPr>
      <w:r w:rsidRPr="001752C8">
        <w:rPr>
          <w:rFonts w:ascii="Times New Roman" w:hAnsi="Times New Roman" w:cs="Times New Roman"/>
          <w:sz w:val="20"/>
          <w:szCs w:val="20"/>
          <w:lang w:eastAsia="uk-UA"/>
        </w:rPr>
        <w:t xml:space="preserve">З метою забезпечення діяльності працівників УСЗН </w:t>
      </w:r>
      <w:proofErr w:type="spellStart"/>
      <w:r w:rsidRPr="001752C8">
        <w:rPr>
          <w:rFonts w:ascii="Times New Roman" w:hAnsi="Times New Roman" w:cs="Times New Roman"/>
          <w:sz w:val="20"/>
          <w:szCs w:val="20"/>
          <w:lang w:eastAsia="uk-UA"/>
        </w:rPr>
        <w:t>Горішньоплавнівської</w:t>
      </w:r>
      <w:proofErr w:type="spellEnd"/>
      <w:r w:rsidRPr="001752C8">
        <w:rPr>
          <w:rFonts w:ascii="Times New Roman" w:hAnsi="Times New Roman" w:cs="Times New Roman"/>
          <w:sz w:val="20"/>
          <w:szCs w:val="20"/>
          <w:lang w:eastAsia="uk-UA"/>
        </w:rPr>
        <w:t xml:space="preserve"> міськради та для забезпечення ефективної та безперебійної роботи управління, існує необхідність в закупівлі паперу</w:t>
      </w:r>
      <w:r w:rsidR="002C31D6">
        <w:rPr>
          <w:rFonts w:ascii="Times New Roman" w:hAnsi="Times New Roman" w:cs="Times New Roman"/>
          <w:sz w:val="20"/>
          <w:szCs w:val="20"/>
          <w:lang w:eastAsia="uk-UA"/>
        </w:rPr>
        <w:t xml:space="preserve"> офісного, форматного</w:t>
      </w:r>
      <w:r w:rsidRPr="001752C8">
        <w:rPr>
          <w:rFonts w:ascii="Times New Roman" w:hAnsi="Times New Roman" w:cs="Times New Roman"/>
          <w:sz w:val="20"/>
          <w:szCs w:val="20"/>
          <w:lang w:eastAsia="uk-UA"/>
        </w:rPr>
        <w:t>.</w:t>
      </w:r>
    </w:p>
    <w:p w:rsidR="0082052E" w:rsidRPr="001752C8" w:rsidRDefault="0082052E" w:rsidP="001752C8">
      <w:pPr>
        <w:pStyle w:val="a8"/>
        <w:rPr>
          <w:rFonts w:ascii="Times New Roman" w:hAnsi="Times New Roman" w:cs="Times New Roman"/>
          <w:sz w:val="20"/>
          <w:szCs w:val="20"/>
          <w:lang w:eastAsia="uk-UA"/>
        </w:rPr>
      </w:pPr>
      <w:r w:rsidRPr="001752C8">
        <w:rPr>
          <w:rFonts w:ascii="Times New Roman" w:hAnsi="Times New Roman" w:cs="Times New Roman"/>
          <w:sz w:val="20"/>
          <w:szCs w:val="20"/>
        </w:rPr>
        <w:t xml:space="preserve">В зазначених технічних вимогах відсутні посилання на будь-якого конкретного виробника </w:t>
      </w:r>
      <w:r w:rsidR="005957CA">
        <w:rPr>
          <w:rFonts w:ascii="Times New Roman" w:hAnsi="Times New Roman" w:cs="Times New Roman"/>
          <w:sz w:val="20"/>
          <w:szCs w:val="20"/>
        </w:rPr>
        <w:t>паперу або торговельну марку.</w:t>
      </w:r>
      <w:bookmarkStart w:id="0" w:name="_GoBack"/>
      <w:bookmarkEnd w:id="0"/>
    </w:p>
    <w:p w:rsidR="008538DF" w:rsidRPr="001752C8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паперу визначені з урахуванням реальних потреб </w:t>
      </w:r>
      <w:r w:rsidR="00A26043" w:rsidRPr="001752C8">
        <w:rPr>
          <w:rFonts w:ascii="Times New Roman" w:hAnsi="Times New Roman" w:cs="Times New Roman"/>
          <w:sz w:val="20"/>
          <w:szCs w:val="20"/>
        </w:rPr>
        <w:t>управління</w:t>
      </w:r>
      <w:r w:rsidRPr="001752C8">
        <w:rPr>
          <w:rFonts w:ascii="Times New Roman" w:hAnsi="Times New Roman" w:cs="Times New Roman"/>
          <w:sz w:val="20"/>
          <w:szCs w:val="20"/>
        </w:rPr>
        <w:t xml:space="preserve"> та оптимального співвідношення ціни та якості. Папір повинен бути багатоцільовим, для усіх видів копіювальних та факсимільних апаратів. </w:t>
      </w:r>
    </w:p>
    <w:p w:rsidR="008538DF" w:rsidRDefault="00D30CE7" w:rsidP="001752C8">
      <w:pPr>
        <w:pStyle w:val="a8"/>
        <w:rPr>
          <w:rFonts w:ascii="Times New Roman" w:hAnsi="Times New Roman" w:cs="Times New Roman"/>
          <w:sz w:val="20"/>
          <w:szCs w:val="20"/>
        </w:rPr>
      </w:pPr>
      <w:r w:rsidRPr="001752C8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1752C8" w:rsidRPr="001752C8" w:rsidRDefault="001752C8" w:rsidP="001752C8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54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4"/>
        <w:gridCol w:w="2126"/>
      </w:tblGrid>
      <w:tr w:rsidR="008538DF" w:rsidTr="00462DCE">
        <w:tc>
          <w:tcPr>
            <w:tcW w:w="3364" w:type="dxa"/>
          </w:tcPr>
          <w:p w:rsidR="008538DF" w:rsidRDefault="00D30C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2126" w:type="dxa"/>
          </w:tcPr>
          <w:p w:rsidR="008538DF" w:rsidRDefault="00D30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А-4</w:t>
            </w:r>
            <w:r w:rsidR="00074D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(210*297 мм)</w:t>
            </w:r>
          </w:p>
        </w:tc>
      </w:tr>
      <w:tr w:rsidR="00074D0C" w:rsidTr="00462DCE">
        <w:trPr>
          <w:trHeight w:val="260"/>
        </w:trPr>
        <w:tc>
          <w:tcPr>
            <w:tcW w:w="3364" w:type="dxa"/>
          </w:tcPr>
          <w:p w:rsidR="00074D0C" w:rsidRDefault="00074D0C" w:rsidP="00074D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 аркушів у пачці:</w:t>
            </w:r>
          </w:p>
        </w:tc>
        <w:tc>
          <w:tcPr>
            <w:tcW w:w="2126" w:type="dxa"/>
          </w:tcPr>
          <w:p w:rsidR="00074D0C" w:rsidRDefault="00462DCE" w:rsidP="00462D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DC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від 500 до 500 штуки</w:t>
            </w:r>
          </w:p>
        </w:tc>
      </w:tr>
      <w:tr w:rsidR="00074D0C" w:rsidTr="00462DCE">
        <w:trPr>
          <w:trHeight w:val="194"/>
        </w:trPr>
        <w:tc>
          <w:tcPr>
            <w:tcW w:w="3364" w:type="dxa"/>
          </w:tcPr>
          <w:p w:rsid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Щільність</w:t>
            </w:r>
          </w:p>
        </w:tc>
        <w:tc>
          <w:tcPr>
            <w:tcW w:w="2126" w:type="dxa"/>
          </w:tcPr>
          <w:p w:rsidR="00074D0C" w:rsidRPr="00174DC0" w:rsidRDefault="00174DC0" w:rsidP="00174D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D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від 80 до 80 г/м²</w:t>
            </w:r>
          </w:p>
        </w:tc>
      </w:tr>
      <w:tr w:rsidR="00074D0C" w:rsidTr="00462DCE">
        <w:tc>
          <w:tcPr>
            <w:tcW w:w="3364" w:type="dxa"/>
          </w:tcPr>
          <w:p w:rsid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Товщина</w:t>
            </w:r>
          </w:p>
        </w:tc>
        <w:tc>
          <w:tcPr>
            <w:tcW w:w="2126" w:type="dxa"/>
          </w:tcPr>
          <w:p w:rsidR="00074D0C" w:rsidRP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від 104 до 110 </w:t>
            </w:r>
            <w:proofErr w:type="spellStart"/>
            <w:r w:rsidRPr="00074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мкм</w:t>
            </w:r>
            <w:proofErr w:type="spellEnd"/>
          </w:p>
        </w:tc>
      </w:tr>
      <w:tr w:rsidR="00074D0C" w:rsidTr="00462DCE">
        <w:trPr>
          <w:trHeight w:val="164"/>
        </w:trPr>
        <w:tc>
          <w:tcPr>
            <w:tcW w:w="3364" w:type="dxa"/>
          </w:tcPr>
          <w:p w:rsid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Білизна CIE</w:t>
            </w:r>
          </w:p>
        </w:tc>
        <w:tc>
          <w:tcPr>
            <w:tcW w:w="2126" w:type="dxa"/>
          </w:tcPr>
          <w:p w:rsidR="00074D0C" w:rsidRP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від 150 до 160 %</w:t>
            </w:r>
          </w:p>
        </w:tc>
      </w:tr>
      <w:tr w:rsidR="00074D0C" w:rsidTr="00462DCE">
        <w:tc>
          <w:tcPr>
            <w:tcW w:w="3364" w:type="dxa"/>
          </w:tcPr>
          <w:p w:rsid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Непрозорість</w:t>
            </w:r>
          </w:p>
        </w:tc>
        <w:tc>
          <w:tcPr>
            <w:tcW w:w="2126" w:type="dxa"/>
          </w:tcPr>
          <w:p w:rsidR="00074D0C" w:rsidRP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від 93 до 96 %</w:t>
            </w:r>
          </w:p>
        </w:tc>
      </w:tr>
      <w:tr w:rsidR="00074D0C" w:rsidTr="00462DCE">
        <w:tc>
          <w:tcPr>
            <w:tcW w:w="3364" w:type="dxa"/>
          </w:tcPr>
          <w:p w:rsidR="00074D0C" w:rsidRP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D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Колір</w:t>
            </w:r>
          </w:p>
        </w:tc>
        <w:tc>
          <w:tcPr>
            <w:tcW w:w="2126" w:type="dxa"/>
          </w:tcPr>
          <w:p w:rsidR="00074D0C" w:rsidRDefault="00074D0C" w:rsidP="00074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білий</w:t>
            </w:r>
          </w:p>
        </w:tc>
      </w:tr>
      <w:tr w:rsidR="008538DF" w:rsidTr="00462DCE">
        <w:tc>
          <w:tcPr>
            <w:tcW w:w="3364" w:type="dxa"/>
          </w:tcPr>
          <w:p w:rsidR="008538DF" w:rsidRPr="00074D0C" w:rsidRDefault="00074D0C" w:rsidP="00074D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4D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Recycling</w:t>
            </w:r>
            <w:proofErr w:type="spellEnd"/>
            <w:r w:rsidRPr="00074D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(з </w:t>
            </w:r>
            <w:proofErr w:type="spellStart"/>
            <w:r w:rsidRPr="00074D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вторинной</w:t>
            </w:r>
            <w:proofErr w:type="spellEnd"/>
            <w:r w:rsidRPr="00074D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сировини)</w:t>
            </w:r>
          </w:p>
        </w:tc>
        <w:tc>
          <w:tcPr>
            <w:tcW w:w="2126" w:type="dxa"/>
          </w:tcPr>
          <w:p w:rsidR="008538DF" w:rsidRDefault="00074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</w:tr>
    </w:tbl>
    <w:p w:rsidR="008538DF" w:rsidRDefault="008538D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538DF" w:rsidRDefault="00853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38D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DF"/>
    <w:rsid w:val="00074D0C"/>
    <w:rsid w:val="00105DA3"/>
    <w:rsid w:val="00174DC0"/>
    <w:rsid w:val="001752C8"/>
    <w:rsid w:val="002C31D6"/>
    <w:rsid w:val="00462DCE"/>
    <w:rsid w:val="005957CA"/>
    <w:rsid w:val="0082052E"/>
    <w:rsid w:val="008538DF"/>
    <w:rsid w:val="008C5BAD"/>
    <w:rsid w:val="00917E7B"/>
    <w:rsid w:val="009F1714"/>
    <w:rsid w:val="00A26043"/>
    <w:rsid w:val="00BE45F1"/>
    <w:rsid w:val="00D30CE7"/>
    <w:rsid w:val="00E737A4"/>
    <w:rsid w:val="00E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7E388-7BE7-4F7D-AF4C-6BD044D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8C5BAD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82052E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Павленко Ольга</cp:lastModifiedBy>
  <cp:revision>17</cp:revision>
  <dcterms:created xsi:type="dcterms:W3CDTF">2021-03-31T12:56:00Z</dcterms:created>
  <dcterms:modified xsi:type="dcterms:W3CDTF">2025-03-18T11:08:00Z</dcterms:modified>
</cp:coreProperties>
</file>